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ИНФОРМАЦИОННОЕ ПИСЬМО №1</w:t>
      </w: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Томский государственный архитектурно-строительный университет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Институт международных связей и интернационализации образования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кафедра иностранных языков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кафедра русского языка и специальных дисциплин для иностранных граждан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МЕЖДУНАРОДНАЯ НАУЧНО-ПРАКТИЧЕСКАЯ КОНФЕРЕНЦИЯ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языковой образовательной среды современного вуза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14–15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ноября 2024 года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г. Томск</w:t>
      </w:r>
    </w:p>
    <w:p>
      <w:pPr>
        <w:tabs>
          <w:tab w:val="left" w:pos="720" w:leader="none"/>
        </w:tabs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Институт международных связей и интернационализации образования ТГАСУ приглашает преподавателей, студентов, магистрантов, аспирантов, докторантов принять участие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III-й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Международной научно-практической конференции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языковой образовательной среды современного вуза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статьи, принимающие участие в конференции, будут размещены в системе Российского индекса научного цитирования (РИНЦ), Научной Электронной Библиотеки ELIBRARY.RU, согласно лицензионному договору № 1473-11/2013K, заключённому ТГАСУ.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СЕКЦИИ И НАУЧНЫЕ НАПРАВЛЕНИЯ КОНФЕРЕНЦИИ:</w:t>
      </w:r>
    </w:p>
    <w:p>
      <w:pPr>
        <w:numPr>
          <w:ilvl w:val="0"/>
          <w:numId w:val="8"/>
        </w:numPr>
        <w:tabs>
          <w:tab w:val="left" w:pos="1260" w:leader="none"/>
          <w:tab w:val="left" w:pos="540" w:leader="none"/>
          <w:tab w:val="left" w:pos="851" w:leader="none"/>
        </w:tabs>
        <w:suppressAutoHyphens w:val="true"/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Педагогические аспекты развития образовательной среды вуза</w:t>
      </w:r>
    </w:p>
    <w:p>
      <w:pPr>
        <w:numPr>
          <w:ilvl w:val="0"/>
          <w:numId w:val="8"/>
        </w:numPr>
        <w:tabs>
          <w:tab w:val="left" w:pos="1260" w:leader="none"/>
          <w:tab w:val="left" w:pos="540" w:leader="none"/>
          <w:tab w:val="left" w:pos="851" w:leader="none"/>
        </w:tabs>
        <w:suppressAutoHyphens w:val="true"/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Русскоязычная образовательная среда для иностранных граждан</w:t>
      </w:r>
    </w:p>
    <w:p>
      <w:pPr>
        <w:numPr>
          <w:ilvl w:val="0"/>
          <w:numId w:val="8"/>
        </w:numPr>
        <w:tabs>
          <w:tab w:val="left" w:pos="1260" w:leader="none"/>
          <w:tab w:val="left" w:pos="851" w:leader="none"/>
        </w:tabs>
        <w:suppressAutoHyphens w:val="true"/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Когнитивный аспект терминоведения</w:t>
      </w:r>
    </w:p>
    <w:p>
      <w:pPr>
        <w:numPr>
          <w:ilvl w:val="0"/>
          <w:numId w:val="8"/>
        </w:numPr>
        <w:tabs>
          <w:tab w:val="left" w:pos="1260" w:leader="none"/>
          <w:tab w:val="left" w:pos="851" w:leader="none"/>
        </w:tabs>
        <w:suppressAutoHyphens w:val="true"/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Термин и терминообразование</w:t>
      </w:r>
    </w:p>
    <w:p>
      <w:pPr>
        <w:numPr>
          <w:ilvl w:val="0"/>
          <w:numId w:val="8"/>
        </w:numPr>
        <w:tabs>
          <w:tab w:val="left" w:pos="1260" w:leader="none"/>
          <w:tab w:val="left" w:pos="851" w:leader="none"/>
        </w:tabs>
        <w:suppressAutoHyphens w:val="true"/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Проблемы терминографии</w:t>
      </w:r>
    </w:p>
    <w:p>
      <w:pPr>
        <w:numPr>
          <w:ilvl w:val="0"/>
          <w:numId w:val="8"/>
        </w:numPr>
        <w:tabs>
          <w:tab w:val="left" w:pos="1260" w:leader="none"/>
          <w:tab w:val="left" w:pos="540" w:leader="none"/>
          <w:tab w:val="left" w:pos="851" w:leader="none"/>
        </w:tabs>
        <w:suppressAutoHyphens w:val="true"/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Профессиональная коммуникация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(студенческая секция)</w:t>
      </w:r>
    </w:p>
    <w:p>
      <w:pPr>
        <w:tabs>
          <w:tab w:val="left" w:pos="540" w:leader="none"/>
        </w:tabs>
        <w:suppressAutoHyphens w:val="true"/>
        <w:spacing w:before="0" w:after="0" w:line="240"/>
        <w:ind w:right="0" w:left="12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Возможна постановка и других проблем в рамках заявленной тематики.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участия в работе конференции в срок до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 октября 2024 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нужно заполнить заявку по ссылке: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Для преподавателей, докторантов и научных сотрудников: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https://docs.google.com/forms/d/e/1FAIpQLSfZQcYjTLnWQkLQotNWdsZF_gCP2u_9jMedcEMz3rBrUeqYYQ/viewform?usp=sharing</w:t>
        </w:r>
      </w:hyperlink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Для студентов, магистрантов, аспирантов, и учащихся: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https://docs.google.com/forms/d/e/1FAIpQLSdHLkZLDRPlb-674V7NUlfl6ZJYgM0zRDm2CiAyia8u8vD15A/viewform?usp=sharing</w:t>
        </w:r>
      </w:hyperlink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 октября 2024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 электронный адрес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foreign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"mailto:foreign@tsuab.ru"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"mailto:foreign@tsuab.ru"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tsuab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"mailto:foreign@tsuab.ru"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b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"mailto:foreign@tsuab.ru"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прикреплёнными файлами должны быть отправлены нижеперечисленные материалы.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Для преподавателей, докторантов и научных сотрудников:</w:t>
      </w:r>
    </w:p>
    <w:p>
      <w:pPr>
        <w:suppressAutoHyphens w:val="true"/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 (объёмом от 5 до 8 страниц);</w:t>
      </w:r>
    </w:p>
    <w:p>
      <w:pPr>
        <w:suppressAutoHyphens w:val="true"/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электронная копия квитанции об оплате организационного взноса.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Для студентов, магистрантов, аспирантов, и учащихся:</w:t>
      </w:r>
    </w:p>
    <w:p>
      <w:pPr>
        <w:suppressAutoHyphens w:val="true"/>
        <w:spacing w:before="0" w:after="0" w:line="24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 (объёмом от 3 до 5 страниц);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электронная копия рецензии от кандидата или доктора наук, работающего по данному направлению (с подписью и печатью); </w:t>
      </w:r>
    </w:p>
    <w:p>
      <w:pPr>
        <w:suppressAutoHyphens w:val="true"/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электронная копия квитанции об оплате организационного взноса.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Прикреплённые файлы должны быть названы в соответствии с приведёнными ниже образцами: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Томин_статья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Томин_рецензия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Томин_квитанция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Финансовые условия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strike w:val="true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Организационный взнос в размере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рублей (для преподавателей, докторантов и научных сотрудников) или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рублей (для студентов, магистрантов, аспирантов) необходимо перечислить по приведенным ниже реквизитам.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ИНН 7020000080 КПП 701701001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УФК по Томской области (ТГАСУ, л/с 20656У75640)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Расчетный счет 03214643000000016500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Корреспондентский счет 40102810245370000058</w:t>
      </w:r>
    </w:p>
    <w:p>
      <w:pPr>
        <w:suppressAutoHyphens w:val="true"/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БИК 016902004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ОТДЕЛЕНИЕ ТОМСК БАНКА РОССИИ//УФК по Томской области, г. Томск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ОКТМО 69701000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КБК 00000000000000000130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Назначение платежа: оргвзнос конференция ИМС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Организационные характеристики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конференции предполагаются следующие формы работы: </w:t>
      </w:r>
    </w:p>
    <w:p>
      <w:pPr>
        <w:numPr>
          <w:ilvl w:val="0"/>
          <w:numId w:val="27"/>
        </w:numPr>
        <w:tabs>
          <w:tab w:val="left" w:pos="0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пленарном заседании;</w:t>
      </w:r>
    </w:p>
    <w:p>
      <w:pPr>
        <w:numPr>
          <w:ilvl w:val="0"/>
          <w:numId w:val="27"/>
        </w:numPr>
        <w:tabs>
          <w:tab w:val="left" w:pos="0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работе секции: выступление с докладом (с публикацией и без);</w:t>
      </w:r>
    </w:p>
    <w:p>
      <w:pPr>
        <w:numPr>
          <w:ilvl w:val="0"/>
          <w:numId w:val="27"/>
        </w:numPr>
        <w:tabs>
          <w:tab w:val="left" w:pos="0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дискуссии (на пленарном заседании или на секции);</w:t>
      </w:r>
    </w:p>
    <w:p>
      <w:pPr>
        <w:numPr>
          <w:ilvl w:val="0"/>
          <w:numId w:val="27"/>
        </w:numPr>
        <w:tabs>
          <w:tab w:val="left" w:pos="0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публикация статьи без выступления.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докладах могут быть представлены результаты исследований теоретического и экспериментального характера.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итогам конференции будет издан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электронный сборник материалов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Статьи будут проиндексированы в системе РИНЦ. Статьи, участвующие в конкурсе на секции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Профессиональная коммуникация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будут проиндексированы в соответствии с результатами конкурса.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Лучшие статьи будут опубликованы в одном 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журналов ТГПУ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Научно-педагогическое обозрение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или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Вестник ТГПУ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входящих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Перечень ведущих рецензируемых научных журналов и изданий, в которых должны быть опубликованы основные научные результаты диссертаций на соискание ученой степени доктора и кандидата наук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Высшей аттестационной комиссии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ВАК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) Министерства образования и науки Российской Федерации.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Материалы конференции будут также размещены на официальном сайте ТГАСУ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tsuab.ru.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Желающие получить печатный вариант сборника должны поставить соответствующую отметку в заявке и оплатить печатный вариант сборника.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Оргкомитет оставляет за собой право отклонения материалов, не соответствующих тематике конференции. Оригинальность статьи должна составлять не менее 75%. Ответственность за неточности и опечатки в тексте статей несут авторы.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Получение материалов будет подтверждено по электронной почте в течение двух дней. Номер контактного телефона для уточнения различных вопросов: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 (3822) 65-51-65 (кафедра иностранных языков).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Информация для иногородних участников конференции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Иногородние участники конференции приглашаются за счет командирующих организаций и бронируют места в гостинице самостоятельно. Оргкомитет может обеспечить информационную поддержку. Проезд от ж/д вокзала и автовокзала до Томского государственного архитектурно-строительного университета (ТГАСУ) автобусами № 2, 26. 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оформлению материалов конференции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 должен быть оформлен в редакторе Microsoft Word. Формат страницы – А4. Все поля – по 20 мм. Тип шрифта – Times New Roman, размер – 12 pt, межстрочный интервал – одинарный, выравнивание – по ширине, абзацный отступ – 1,25 см. </w:t>
      </w:r>
    </w:p>
    <w:p>
      <w:pPr>
        <w:suppressAutoHyphens w:val="true"/>
        <w:spacing w:before="0" w:after="0" w:line="30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Тексты статей должны включать: </w:t>
      </w:r>
    </w:p>
    <w:p>
      <w:pPr>
        <w:numPr>
          <w:ilvl w:val="0"/>
          <w:numId w:val="34"/>
        </w:numPr>
        <w:spacing w:before="0" w:after="0" w:line="240"/>
        <w:ind w:right="0" w:left="426" w:firstLine="0"/>
        <w:jc w:val="both"/>
        <w:rPr>
          <w:rFonts w:ascii="Verdana" w:hAnsi="Verdana" w:cs="Verdana" w:eastAsia="Verdana"/>
          <w:color w:val="333333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УДК, который можно уточнить на сайте: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http://www.udcc.org/udcsummary/php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ВНИМАНИЕ!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Проверяйте корректность выбранного УДК на сайте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Всероссийского Института Научной и Технической Информации – ВИНиТИ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).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Статьи (доклады) без УДК не принимаются и не публикуются;</w:t>
      </w:r>
    </w:p>
    <w:p>
      <w:pPr>
        <w:numPr>
          <w:ilvl w:val="0"/>
          <w:numId w:val="34"/>
        </w:num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фамилию, имя, отчество автора(ов),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приводятся полностью на русском и английском языках.</w:t>
      </w:r>
    </w:p>
    <w:p>
      <w:pPr>
        <w:numPr>
          <w:ilvl w:val="0"/>
          <w:numId w:val="34"/>
        </w:num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заголовок статьи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 русском и английском языках), который необходимо выделить в отдельную строку и графически (например, жирным начертанием, прописными буквами и т. п.). Не применять сокращений и аббревиатур.</w:t>
      </w:r>
    </w:p>
    <w:p>
      <w:pPr>
        <w:numPr>
          <w:ilvl w:val="0"/>
          <w:numId w:val="34"/>
        </w:num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аннотацию (не менее 5 предложений/600 печ. знаков) и ключевые слова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5–7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слов или словосочетаний) на русском и английском языках. Аннотация должна соответствовать структуре статьи, характеризовать теоретическую и практическую значимость полученных результатов исследования. В аннотации и ключевых словах необходимо избегать формулировок, повторяющих название работы, громоздких грамматических конструкций, сокращений;</w:t>
      </w:r>
    </w:p>
    <w:p>
      <w:pPr>
        <w:numPr>
          <w:ilvl w:val="0"/>
          <w:numId w:val="34"/>
        </w:num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текст, который должен быть тщательно вычитан автором, несущим ответственность за научно-теоретический уровень публикуемого материала;</w:t>
      </w:r>
    </w:p>
    <w:p>
      <w:pPr>
        <w:numPr>
          <w:ilvl w:val="0"/>
          <w:numId w:val="34"/>
        </w:num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нумерация страниц не проставляется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;</w:t>
      </w:r>
    </w:p>
    <w:p>
      <w:pPr>
        <w:numPr>
          <w:ilvl w:val="0"/>
          <w:numId w:val="34"/>
        </w:num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библиографический список, оформленный в соответствии с ГОСТ Р 7.10.2018. В список литературы включаются цитируемые, рассматриваемые или упоминаемые в тексте документа (статьи, доклада) научные издания. Не допускаются ссылки на учебники и учебные пособия, методические рекомендации, Википедию.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Номера ссылок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: ставятся в тексте по возрастанию после цитирования или косвенного использованного материала и обозначаются в квадратных скобках с указанием в них порядкового номера источника по списку и через запятую – номера страницы (страниц), например: [5, с. 115]. Другой способ оформления литературы не допускается. Самоцитирование не приветствуется. В списке литературы 10–15 источников указываются нумерованным списком в порядке упоминания в тексте и приводятся на языке оригинала. Ссылки на нормативную документацию и законодательные акты включаются в текст статьи, а не в список источников;</w:t>
      </w:r>
    </w:p>
    <w:p>
      <w:pPr>
        <w:numPr>
          <w:ilvl w:val="0"/>
          <w:numId w:val="34"/>
        </w:num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сведения об авторе(-ах) на русском и английском языках: ФИО (полностью), ученую степень, ученое звание, должность, место работы (учебы), адрес электронной почты.</w:t>
      </w:r>
    </w:p>
    <w:p>
      <w:p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Если используемое в статье изображение не принадлежит автору и приводится из источника, необходимо указать автора и ресурс, откуда изображение было скопировано. Изображение должно иметь разрешение к использованию. Информация об ограничениях, как правило, размещена на сайтах в разделе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Использование материалов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».</w:t>
      </w:r>
    </w:p>
    <w:p>
      <w:p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Публикации студентов рассматриваются только в соавторстве с научным руководителем.</w:t>
      </w:r>
    </w:p>
    <w:p>
      <w:pPr>
        <w:suppressAutoHyphens w:val="true"/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Материалы аспирантов должны быть подписаны научным руководителем.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8">
    <w:abstractNumId w:val="12"/>
  </w:num>
  <w:num w:numId="27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docs.google.com/forms/d/e/1FAIpQLSdHLkZLDRPlb-674V7NUlfl6ZJYgM0zRDm2CiAyia8u8vD15A/viewform?usp=sharing" Id="docRId1" Type="http://schemas.openxmlformats.org/officeDocument/2006/relationships/hyperlink"/><Relationship TargetMode="External" Target="http://www.udcc.org/udcsummary/php" Id="docRId3" Type="http://schemas.openxmlformats.org/officeDocument/2006/relationships/hyperlink"/><Relationship Target="numbering.xml" Id="docRId5" Type="http://schemas.openxmlformats.org/officeDocument/2006/relationships/numbering"/><Relationship TargetMode="External" Target="https://docs.google.com/forms/d/e/1FAIpQLSfZQcYjTLnWQkLQotNWdsZF_gCP2u_9jMedcEMz3rBrUeqYYQ/viewform?usp=sharing" Id="docRId0" Type="http://schemas.openxmlformats.org/officeDocument/2006/relationships/hyperlink"/><Relationship TargetMode="External" Target="mailto:foreign@tsuab.ru" Id="docRId2" Type="http://schemas.openxmlformats.org/officeDocument/2006/relationships/hyperlink"/><Relationship TargetMode="External" Target="http://scs.viniti.ru/udc/Default.aspx" Id="docRId4" Type="http://schemas.openxmlformats.org/officeDocument/2006/relationships/hyperlink"/><Relationship Target="styles.xml" Id="docRId6" Type="http://schemas.openxmlformats.org/officeDocument/2006/relationships/styles"/></Relationships>
</file>